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0A0" w:firstRow="1" w:lastRow="0" w:firstColumn="1" w:lastColumn="0" w:noHBand="0" w:noVBand="0"/>
      </w:tblPr>
      <w:tblGrid>
        <w:gridCol w:w="9355"/>
      </w:tblGrid>
      <w:tr w:rsidR="009C0141" w:rsidRPr="00D44D16" w:rsidTr="00890A60">
        <w:trPr>
          <w:trHeight w:val="360"/>
          <w:tblCellSpacing w:w="0" w:type="dxa"/>
        </w:trPr>
        <w:tc>
          <w:tcPr>
            <w:tcW w:w="0" w:type="auto"/>
            <w:vAlign w:val="center"/>
          </w:tcPr>
          <w:p w:rsidR="009C0141" w:rsidRPr="00D44D16" w:rsidRDefault="009C0141" w:rsidP="00890A60">
            <w:pPr>
              <w:jc w:val="both"/>
              <w:rPr>
                <w:rFonts w:ascii="Times New Roman" w:hAnsi="Times New Roman"/>
                <w:sz w:val="28"/>
                <w:szCs w:val="28"/>
                <w:lang w:val="uk-UA" w:eastAsia="ru-RU"/>
              </w:rPr>
            </w:pPr>
          </w:p>
          <w:p w:rsidR="009C0141" w:rsidRPr="00D44D16" w:rsidRDefault="009C0141" w:rsidP="00890A60">
            <w:pPr>
              <w:jc w:val="both"/>
              <w:rPr>
                <w:rFonts w:ascii="Times New Roman" w:hAnsi="Times New Roman"/>
                <w:b/>
                <w:sz w:val="28"/>
                <w:szCs w:val="28"/>
                <w:lang w:val="uk-UA" w:eastAsia="ru-RU"/>
              </w:rPr>
            </w:pPr>
          </w:p>
          <w:p w:rsidR="009C0141" w:rsidRPr="00D44D16" w:rsidRDefault="009C0141" w:rsidP="009C0141">
            <w:pPr>
              <w:jc w:val="center"/>
              <w:rPr>
                <w:rFonts w:ascii="Times New Roman" w:hAnsi="Times New Roman"/>
                <w:sz w:val="28"/>
                <w:szCs w:val="28"/>
                <w:lang w:eastAsia="ru-RU"/>
              </w:rPr>
            </w:pPr>
            <w:r w:rsidRPr="00D44D16">
              <w:rPr>
                <w:rFonts w:ascii="Times New Roman" w:hAnsi="Times New Roman"/>
                <w:b/>
                <w:sz w:val="28"/>
                <w:szCs w:val="28"/>
                <w:lang w:eastAsia="ru-RU"/>
              </w:rPr>
              <w:t>Охорона праці офісних працівників</w:t>
            </w:r>
          </w:p>
        </w:tc>
      </w:tr>
      <w:tr w:rsidR="009C0141" w:rsidRPr="00D44D16" w:rsidTr="00890A60">
        <w:trPr>
          <w:tblCellSpacing w:w="0" w:type="dxa"/>
        </w:trPr>
        <w:tc>
          <w:tcPr>
            <w:tcW w:w="0" w:type="auto"/>
            <w:vAlign w:val="center"/>
          </w:tcPr>
          <w:p w:rsidR="009C0141" w:rsidRPr="00D44D16" w:rsidRDefault="009C0141" w:rsidP="00890A60">
            <w:pPr>
              <w:jc w:val="both"/>
              <w:rPr>
                <w:rFonts w:ascii="Times New Roman" w:hAnsi="Times New Roman"/>
                <w:sz w:val="28"/>
                <w:szCs w:val="28"/>
                <w:lang w:eastAsia="ru-RU"/>
              </w:rPr>
            </w:pPr>
            <w:r w:rsidRPr="00D44D16">
              <w:rPr>
                <w:rFonts w:ascii="Times New Roman" w:hAnsi="Times New Roman"/>
                <w:sz w:val="28"/>
                <w:szCs w:val="28"/>
                <w:lang w:eastAsia="ru-RU"/>
              </w:rPr>
              <w:t> </w:t>
            </w:r>
          </w:p>
        </w:tc>
      </w:tr>
      <w:tr w:rsidR="009C0141" w:rsidRPr="00D44D16" w:rsidTr="00890A60">
        <w:trPr>
          <w:trHeight w:val="240"/>
          <w:tblCellSpacing w:w="0" w:type="dxa"/>
        </w:trPr>
        <w:tc>
          <w:tcPr>
            <w:tcW w:w="0" w:type="auto"/>
            <w:vAlign w:val="center"/>
          </w:tcPr>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Конституція України гарантує кожному право на належні, безпечні і здорові умови праці.</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Однак у сучасних реаліях ведення бізнесу, гаслом якого є «Максимальні прибутки при мінімальних витратах», економія, на жаль, відбувається саме на забезпеченні прийнятних умов праці. Робота в офісах, що розташовані у підвальних, складських, тісних, малоосвітлених і поганопровітрюваних приміщеннях, не є рідкістю для сьогоднішніх «білих комірців».</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Разом з тим кожен роботодавець чекає і вимагає від своїх підлеглих максимальної ефективності і відданості виконуваній роботі. Однак слід зважати, що безпечні умови праці — не тільки запорука комфортного існування працівників </w:t>
            </w:r>
            <w:proofErr w:type="gramStart"/>
            <w:r w:rsidRPr="00D44D16">
              <w:rPr>
                <w:rFonts w:ascii="Times New Roman" w:hAnsi="Times New Roman"/>
                <w:sz w:val="28"/>
                <w:szCs w:val="28"/>
                <w:lang w:eastAsia="ru-RU"/>
              </w:rPr>
              <w:t>у межах</w:t>
            </w:r>
            <w:proofErr w:type="gramEnd"/>
            <w:r w:rsidRPr="00D44D16">
              <w:rPr>
                <w:rFonts w:ascii="Times New Roman" w:hAnsi="Times New Roman"/>
                <w:sz w:val="28"/>
                <w:szCs w:val="28"/>
                <w:lang w:eastAsia="ru-RU"/>
              </w:rPr>
              <w:t xml:space="preserve"> офісу, а в першу чергу — їх здоров’я та працездатності, а відтак і прибутковості підприємства.</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В даній публікації розглянемо основні показники належних умов праці в офісних приміщеннях.</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Загальні вимоги до умов праці на підприємствах встановлено законодавством про працю. Відповідно до ч. 1 ст. 6 Закону України «Про охорону праці» </w:t>
            </w:r>
            <w:hyperlink r:id="rId5" w:history="1">
              <w:r w:rsidRPr="00D44D16">
                <w:rPr>
                  <w:rFonts w:ascii="Times New Roman" w:hAnsi="Times New Roman"/>
                  <w:color w:val="0000FF"/>
                  <w:sz w:val="28"/>
                  <w:szCs w:val="28"/>
                  <w:u w:val="single"/>
                  <w:lang w:eastAsia="ru-RU"/>
                </w:rPr>
                <w:t>від 14.10.92 р. № 2694-XII</w:t>
              </w:r>
            </w:hyperlink>
            <w:r w:rsidRPr="00D44D16">
              <w:rPr>
                <w:rFonts w:ascii="Times New Roman" w:hAnsi="Times New Roman"/>
                <w:sz w:val="28"/>
                <w:szCs w:val="28"/>
                <w:lang w:eastAsia="ru-RU"/>
              </w:rPr>
              <w:t xml:space="preserve"> (</w:t>
            </w:r>
            <w:r w:rsidRPr="00D44D16">
              <w:rPr>
                <w:rFonts w:ascii="Times New Roman" w:hAnsi="Times New Roman"/>
                <w:i/>
                <w:iCs/>
                <w:sz w:val="28"/>
                <w:szCs w:val="28"/>
                <w:lang w:eastAsia="ru-RU"/>
              </w:rPr>
              <w:t>далі</w:t>
            </w:r>
            <w:r w:rsidRPr="00D44D16">
              <w:rPr>
                <w:rFonts w:ascii="Times New Roman" w:hAnsi="Times New Roman"/>
                <w:sz w:val="28"/>
                <w:szCs w:val="28"/>
                <w:lang w:eastAsia="ru-RU"/>
              </w:rPr>
              <w:t xml:space="preserve"> — Закон про охорону праці) умови праці на робочому місці, безпека технологічних процесів, устаткування та інших засобів виробництва, стан засобів колективного та індивідуального захисту, що використовуються працівником, а також санітарно-побутові умови повинні відповідати вимогам законодавства.</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Більшість нормативів щодо умов праці офісних працівників встановлено на рівні державних стандартів. Основними з них є:</w:t>
            </w:r>
          </w:p>
          <w:p w:rsidR="009C0141" w:rsidRPr="00D44D16" w:rsidRDefault="009C0141" w:rsidP="009C0141">
            <w:pPr>
              <w:numPr>
                <w:ilvl w:val="0"/>
                <w:numId w:val="1"/>
              </w:numPr>
              <w:spacing w:before="100" w:beforeAutospacing="1" w:after="240"/>
              <w:jc w:val="both"/>
              <w:rPr>
                <w:rFonts w:ascii="Times New Roman" w:hAnsi="Times New Roman"/>
                <w:sz w:val="28"/>
                <w:szCs w:val="28"/>
                <w:lang w:eastAsia="ru-RU"/>
              </w:rPr>
            </w:pPr>
            <w:r w:rsidRPr="00D44D16">
              <w:rPr>
                <w:rFonts w:ascii="Times New Roman" w:hAnsi="Times New Roman"/>
                <w:sz w:val="28"/>
                <w:szCs w:val="28"/>
                <w:lang w:eastAsia="ru-RU"/>
              </w:rPr>
              <w:t>Державні санітарні норми виробничого шуму, ультразвуку та інфразвуку ДСН 2.3.6.037-99, затверджені постановою Головного державного санітарного лікаря України від 01.12.99 р. № 37;</w:t>
            </w:r>
          </w:p>
          <w:p w:rsidR="009C0141" w:rsidRPr="00D44D16" w:rsidRDefault="009C0141" w:rsidP="009C0141">
            <w:pPr>
              <w:numPr>
                <w:ilvl w:val="0"/>
                <w:numId w:val="1"/>
              </w:numPr>
              <w:spacing w:before="100" w:beforeAutospacing="1" w:after="240"/>
              <w:jc w:val="both"/>
              <w:rPr>
                <w:rFonts w:ascii="Times New Roman" w:hAnsi="Times New Roman"/>
                <w:sz w:val="28"/>
                <w:szCs w:val="28"/>
                <w:lang w:eastAsia="ru-RU"/>
              </w:rPr>
            </w:pPr>
            <w:r w:rsidRPr="00D44D16">
              <w:rPr>
                <w:rFonts w:ascii="Times New Roman" w:hAnsi="Times New Roman"/>
                <w:sz w:val="28"/>
                <w:szCs w:val="28"/>
                <w:lang w:eastAsia="ru-RU"/>
              </w:rPr>
              <w:t>Державні санітарні норми виробничої загальної та локальної вібрації ДСН 3.3.6.039-99, затверджені постановою Головного державного санітарного лікаря України від 01.12.99 р. № 39;</w:t>
            </w:r>
          </w:p>
          <w:p w:rsidR="009C0141" w:rsidRPr="00D44D16" w:rsidRDefault="009C0141" w:rsidP="009C0141">
            <w:pPr>
              <w:numPr>
                <w:ilvl w:val="0"/>
                <w:numId w:val="1"/>
              </w:numPr>
              <w:spacing w:before="100" w:beforeAutospacing="1" w:after="240"/>
              <w:jc w:val="both"/>
              <w:rPr>
                <w:rFonts w:ascii="Times New Roman" w:hAnsi="Times New Roman"/>
                <w:sz w:val="28"/>
                <w:szCs w:val="28"/>
                <w:lang w:eastAsia="ru-RU"/>
              </w:rPr>
            </w:pPr>
            <w:r w:rsidRPr="00D44D16">
              <w:rPr>
                <w:rFonts w:ascii="Times New Roman" w:hAnsi="Times New Roman"/>
                <w:sz w:val="28"/>
                <w:szCs w:val="28"/>
                <w:lang w:eastAsia="ru-RU"/>
              </w:rPr>
              <w:t xml:space="preserve">Державні санітарні норми мікроклімату виробничих приміщень ДСН 3.3.6.042-99, затверджені постановою Головного державного санітарного лікаря України </w:t>
            </w:r>
            <w:hyperlink r:id="rId6" w:history="1">
              <w:r w:rsidRPr="00D44D16">
                <w:rPr>
                  <w:rFonts w:ascii="Times New Roman" w:hAnsi="Times New Roman"/>
                  <w:color w:val="0000FF"/>
                  <w:sz w:val="28"/>
                  <w:szCs w:val="28"/>
                  <w:u w:val="single"/>
                  <w:lang w:eastAsia="ru-RU"/>
                </w:rPr>
                <w:t>від 01.12.99 р. № 42</w:t>
              </w:r>
            </w:hyperlink>
            <w:r w:rsidRPr="00D44D16">
              <w:rPr>
                <w:rFonts w:ascii="Times New Roman" w:hAnsi="Times New Roman"/>
                <w:sz w:val="28"/>
                <w:szCs w:val="28"/>
                <w:lang w:eastAsia="ru-RU"/>
              </w:rPr>
              <w:t>;</w:t>
            </w:r>
          </w:p>
          <w:p w:rsidR="009C0141" w:rsidRPr="00D44D16" w:rsidRDefault="009C0141" w:rsidP="009C0141">
            <w:pPr>
              <w:numPr>
                <w:ilvl w:val="0"/>
                <w:numId w:val="1"/>
              </w:numPr>
              <w:spacing w:before="100" w:beforeAutospacing="1" w:after="240"/>
              <w:jc w:val="both"/>
              <w:rPr>
                <w:rFonts w:ascii="Times New Roman" w:hAnsi="Times New Roman"/>
                <w:sz w:val="28"/>
                <w:szCs w:val="28"/>
                <w:lang w:eastAsia="ru-RU"/>
              </w:rPr>
            </w:pPr>
            <w:r w:rsidRPr="00D44D16">
              <w:rPr>
                <w:rFonts w:ascii="Times New Roman" w:hAnsi="Times New Roman"/>
                <w:sz w:val="28"/>
                <w:szCs w:val="28"/>
                <w:lang w:eastAsia="ru-RU"/>
              </w:rPr>
              <w:lastRenderedPageBreak/>
              <w:t xml:space="preserve">Державні санітарні правила і норми роботи з візуальними дисплейними терміналами електронно-обчислювальних машин ДСанПіН 3.3.2.007-98, затверджені постановою Головного державного санітарного лікаря України </w:t>
            </w:r>
            <w:hyperlink r:id="rId7" w:history="1">
              <w:r w:rsidRPr="00D44D16">
                <w:rPr>
                  <w:rFonts w:ascii="Times New Roman" w:hAnsi="Times New Roman"/>
                  <w:color w:val="0000FF"/>
                  <w:sz w:val="28"/>
                  <w:szCs w:val="28"/>
                  <w:u w:val="single"/>
                  <w:lang w:eastAsia="ru-RU"/>
                </w:rPr>
                <w:t>від 10.12.98 р. № 7</w:t>
              </w:r>
            </w:hyperlink>
            <w:r w:rsidRPr="00D44D16">
              <w:rPr>
                <w:rFonts w:ascii="Times New Roman" w:hAnsi="Times New Roman"/>
                <w:sz w:val="28"/>
                <w:szCs w:val="28"/>
                <w:lang w:eastAsia="ru-RU"/>
              </w:rPr>
              <w:t>;</w:t>
            </w:r>
          </w:p>
          <w:p w:rsidR="009C0141" w:rsidRPr="00D44D16" w:rsidRDefault="009C0141" w:rsidP="009C0141">
            <w:pPr>
              <w:numPr>
                <w:ilvl w:val="0"/>
                <w:numId w:val="1"/>
              </w:numPr>
              <w:spacing w:before="100" w:beforeAutospacing="1" w:after="240"/>
              <w:jc w:val="both"/>
              <w:rPr>
                <w:rFonts w:ascii="Times New Roman" w:hAnsi="Times New Roman"/>
                <w:sz w:val="28"/>
                <w:szCs w:val="28"/>
                <w:lang w:eastAsia="ru-RU"/>
              </w:rPr>
            </w:pPr>
            <w:r w:rsidRPr="00D44D16">
              <w:rPr>
                <w:rFonts w:ascii="Times New Roman" w:hAnsi="Times New Roman"/>
                <w:sz w:val="28"/>
                <w:szCs w:val="28"/>
                <w:lang w:eastAsia="ru-RU"/>
              </w:rPr>
              <w:t xml:space="preserve">Правила охорони праці під час експлуатації електронно-обчислювальних машин, затверджені наказом Держгірпромнагляду </w:t>
            </w:r>
            <w:hyperlink r:id="rId8" w:history="1">
              <w:r w:rsidRPr="00D44D16">
                <w:rPr>
                  <w:rFonts w:ascii="Times New Roman" w:hAnsi="Times New Roman"/>
                  <w:color w:val="0000FF"/>
                  <w:sz w:val="28"/>
                  <w:szCs w:val="28"/>
                  <w:u w:val="single"/>
                  <w:lang w:eastAsia="ru-RU"/>
                </w:rPr>
                <w:t>від 26.03.2010 р. № 65</w:t>
              </w:r>
            </w:hyperlink>
            <w:r w:rsidRPr="00D44D16">
              <w:rPr>
                <w:rFonts w:ascii="Times New Roman" w:hAnsi="Times New Roman"/>
                <w:sz w:val="28"/>
                <w:szCs w:val="28"/>
                <w:lang w:eastAsia="ru-RU"/>
              </w:rPr>
              <w:t xml:space="preserve"> (</w:t>
            </w:r>
            <w:r w:rsidRPr="00D44D16">
              <w:rPr>
                <w:rFonts w:ascii="Times New Roman" w:hAnsi="Times New Roman"/>
                <w:i/>
                <w:iCs/>
                <w:sz w:val="28"/>
                <w:szCs w:val="28"/>
                <w:lang w:eastAsia="ru-RU"/>
              </w:rPr>
              <w:t>далі</w:t>
            </w:r>
            <w:r w:rsidRPr="00D44D16">
              <w:rPr>
                <w:rFonts w:ascii="Times New Roman" w:hAnsi="Times New Roman"/>
                <w:sz w:val="28"/>
                <w:szCs w:val="28"/>
                <w:lang w:eastAsia="ru-RU"/>
              </w:rPr>
              <w:t xml:space="preserve"> — Правила № 65);</w:t>
            </w:r>
          </w:p>
          <w:p w:rsidR="009C0141" w:rsidRPr="00D44D16" w:rsidRDefault="009C0141" w:rsidP="009C0141">
            <w:pPr>
              <w:numPr>
                <w:ilvl w:val="0"/>
                <w:numId w:val="1"/>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Загальні вимоги стосовно забезпечення роботодавцями охорони праці працівників, затверджені наказом МНС </w:t>
            </w:r>
            <w:hyperlink r:id="rId9" w:history="1">
              <w:r w:rsidRPr="00D44D16">
                <w:rPr>
                  <w:rFonts w:ascii="Times New Roman" w:hAnsi="Times New Roman"/>
                  <w:color w:val="0000FF"/>
                  <w:sz w:val="28"/>
                  <w:szCs w:val="28"/>
                  <w:u w:val="single"/>
                  <w:lang w:eastAsia="ru-RU"/>
                </w:rPr>
                <w:t>від 25.01.2012 р. № 67</w:t>
              </w:r>
            </w:hyperlink>
            <w:r w:rsidRPr="00D44D16">
              <w:rPr>
                <w:rFonts w:ascii="Times New Roman" w:hAnsi="Times New Roman"/>
                <w:sz w:val="28"/>
                <w:szCs w:val="28"/>
                <w:lang w:eastAsia="ru-RU"/>
              </w:rPr>
              <w:t>.</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Відповідно до ч. 1 ст. 13 Закону про охорону праці роботодавець зобов’язаний створити на робочому місці в кожному структурному підрозділі умови праці відповідно до нормативно-правових актів.</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На жаль, на практиці роботодавці рідко їх дотримуються, що у більшості випадків пов’язано з необізнаністю з цього питання. Проте не тільки обраний Україною шлях до євроінтеграції, але й встановлена законодавством відповідальність за порушення таких норм та правил, зобов’язує ознайомитись з цим питанням більш детально.</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b/>
                <w:bCs/>
                <w:sz w:val="28"/>
                <w:szCs w:val="28"/>
                <w:lang w:eastAsia="ru-RU"/>
              </w:rPr>
              <w:t>Організація та обладнання робочого місця працівника</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b/>
                <w:bCs/>
                <w:i/>
                <w:iCs/>
                <w:sz w:val="28"/>
                <w:szCs w:val="28"/>
                <w:lang w:eastAsia="ru-RU"/>
              </w:rPr>
              <w:t>Вимоги до офісного приміщення та організації робочого місця</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Площу приміщень, в яких розташовують персональні комп’ютери, визначають згідно з чинними нормативними документами. Відповідно до ДСанПіН 3.3.2.007-98 з розрахунку на одне робоче місце, обладнане ПК, встановлено такі норми:</w:t>
            </w:r>
          </w:p>
          <w:p w:rsidR="009C0141" w:rsidRPr="00D44D16" w:rsidRDefault="009C0141" w:rsidP="009C0141">
            <w:pPr>
              <w:numPr>
                <w:ilvl w:val="0"/>
                <w:numId w:val="2"/>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площа — не менше 6,0 кв. м;</w:t>
            </w:r>
          </w:p>
          <w:p w:rsidR="009C0141" w:rsidRPr="00D44D16" w:rsidRDefault="009C0141" w:rsidP="009C0141">
            <w:pPr>
              <w:numPr>
                <w:ilvl w:val="0"/>
                <w:numId w:val="2"/>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об’єм — не менше 20,0 куб. м.</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Заземлені конструкції, що знаходяться у приміщеннях (батареї опалення, водопровідні труби, кабелі із заземленим відкритим екраном тощо), мають бути надійно захищені діелектричними щитками або сітками від випадкового дотику.</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Також в цих приміщеннях повинні бути медичні аптечки першої допомоги, системи автоматичної пожежної сигналізації та переносні вуглекислотні вогнегасники. Підходи до засобів пожежогасіння повинні бути вільними.</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Робочі місця, згідно з п. 4.3 ДСанПіН 3.3.2.007-98, слід розташовувати відносно світлових прорізів так, щоб природне світло падало переважно з лівого боку.</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lastRenderedPageBreak/>
              <w:t>Конструкція робочого місця користувача персонального комп’ютера має забезпечити підтримання оптимальної робочої пози офісного працівника. Конструкція робочого столу має відповідати сучасним вимогам ергономіки і забезпечувати оптимальне розміщення на робочій поверхні використовуваного обладнання (дисплея, клавіатури, принтера) і документів.</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Правилами встановлюються висота робочої поверхні робочого столу, параметри ширини і глибини для робочих столів, які мають забезпечувати можливість виконання операцій у зоні досяжності моторного поля.</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Відповідно до п. 4.8 ДСанПіН 3.3.2.007-98 робочий стілець має бути підйомно-поворотним, регульованим за висотою, з кутом нахилу сидіння та спинки, від спинки до переднього краю сидіння поверхня сидіння має бути плоскою, передній край — заокругленим. Регулювання за кожним із параметрів має здійснюватися незалежно, легко і надійно фіксуватися.</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Поверхня сидіння і спинки стільця має бути напівм’якою з нековзним, повітронепроникним покриттям, що легко чиститься і не електризується (п. 4.12 ДСанПіН 3.3.2.007-98).</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Робочий стіл для ПК, як правило, має бути обладнаним підставкою для ніг, вимоги до її розмірів та конструкції також прописані в правилах. Застосування підставки для ніг тими, у кого ноги не дістають до підлоги, є обов’язковим.</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Приміщення можуть обладнуватись шафами для зберігання документів, магнітних дисків, полицями, стелажами, тумбами тощо з урахуванням вимог до площі приміщень.</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Поверхня підлоги має бути рівною, неслизькою, з антистатичними властивостями. Забороняється для оздоблення інтер’єру приміщень з персональними комп’ютерами застосовувати полімерні матеріали (деревинно-стружкові плити, шпалери, що миються, рулонні синтетичні матеріали, шаруватий паперовий пластик тощо), що виділяють у повітря шкідливі хімічні речовини.</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b/>
                <w:bCs/>
                <w:i/>
                <w:iCs/>
                <w:sz w:val="28"/>
                <w:szCs w:val="28"/>
                <w:lang w:eastAsia="ru-RU"/>
              </w:rPr>
              <w:t>Дотримання вимог електробезпеки під час роботи</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Відповідно до розд. VI Правил № 65 щодня перед початком роботи необхідно очищати монітор від пилу та інших забруднень. Після закінчення роботи персональний комп’ютер і периферійні пристрої повинні бути відключені від електричної мережі. У разі виникнення аварійної ситуації необхідно негайно відключити персональний комп’ютер і периферійні пристрої від електричної мережі.</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Персональні комп’ютери, периферійні пристрої повинні підключатися до електромережі тільки з допомогою справних штепсельних з’єднань і </w:t>
            </w:r>
            <w:r w:rsidRPr="00D44D16">
              <w:rPr>
                <w:rFonts w:ascii="Times New Roman" w:hAnsi="Times New Roman"/>
                <w:sz w:val="28"/>
                <w:szCs w:val="28"/>
                <w:lang w:eastAsia="ru-RU"/>
              </w:rPr>
              <w:lastRenderedPageBreak/>
              <w:t>електророзеток заводського виготовлення (п. 2.9 Правил № 65). Штепсельні з’єднання та електророзетки, окрім контактів фазового та нульового робочого провідників, повинні мати спеціальні контакти для підключення нульового захисного провідника. Конструкція їх має бути такою, щоб приєднання нульового захисного провідника відбувалося раніше, ніж приєднання фазового та нульового робочого провідників. Порядок роз’єднання при відключенні має бути зворотним. Необхідно унеможливити з’єднання контактів фазових провідників з контактами нульового захисного провідника. Неприпустимим є підключення комп’ютерів, периферійних пристроїв до звичайної двопровідної електромережі, в тому числі — з використанням перехідних пристроїв.</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Є неприпустимими:</w:t>
            </w:r>
          </w:p>
          <w:p w:rsidR="009C0141" w:rsidRPr="00D44D16" w:rsidRDefault="009C0141" w:rsidP="009C0141">
            <w:pPr>
              <w:numPr>
                <w:ilvl w:val="0"/>
                <w:numId w:val="3"/>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експлуатація кабелів та проводів з пошкодженою або такою, що втратила захисні властивості за час експлуатації, ізоляцією;</w:t>
            </w:r>
          </w:p>
          <w:p w:rsidR="009C0141" w:rsidRPr="00D44D16" w:rsidRDefault="009C0141" w:rsidP="009C0141">
            <w:pPr>
              <w:numPr>
                <w:ilvl w:val="0"/>
                <w:numId w:val="3"/>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застосування саморобних подовжувачів, застосування для опалення приміщення нестандартного (саморобного) електронагрівального обладнання або ламп розжарювання;</w:t>
            </w:r>
          </w:p>
          <w:p w:rsidR="009C0141" w:rsidRPr="00D44D16" w:rsidRDefault="009C0141" w:rsidP="009C0141">
            <w:pPr>
              <w:numPr>
                <w:ilvl w:val="0"/>
                <w:numId w:val="3"/>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користування пошкодженими розетками, розгалужувальними та з’єднувальними коробками, вимикачами та іншими електровиробами, а також лампами, скло яких має сліди затемнення або випинання;</w:t>
            </w:r>
          </w:p>
          <w:p w:rsidR="009C0141" w:rsidRPr="00D44D16" w:rsidRDefault="009C0141" w:rsidP="009C0141">
            <w:pPr>
              <w:numPr>
                <w:ilvl w:val="0"/>
                <w:numId w:val="3"/>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використання електроапаратури та приладів в умовах, що не відповідають вказівкам (рекомендаціям) підприємств-виготовлювачів.</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b/>
                <w:bCs/>
                <w:i/>
                <w:iCs/>
                <w:sz w:val="28"/>
                <w:szCs w:val="28"/>
                <w:lang w:eastAsia="ru-RU"/>
              </w:rPr>
              <w:t>Вимоги до вентиляції, опалення, кондиціонування, мікроклімату</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Приміщення для роботи з персональними комп’ютерами мають бути обладнані системами опалення, кондиціонування повітря, або припливно-витяжною вентиляцією. У приміщеннях на робочих місцях мають забезпечуватись оптимальні значення параметрів мікроклімату: температури, відносної вологості та рухливості повітря відповідно до норм та правил, а також ДБН В.2.5-67:2013 «Опалення, вентиляція та кондиціонування», затверджених наказом Мінрегіону від 25.01.2013 р. № 24.</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Відповідно до санітарних норм мікроклімату виробничих приміщень ДСН 3.3.6.042-99 в офісних приміщеннях температура повітря повинна становити 22–25°С, відносна вологість повітря — 40–60%, швидкість руху повітря — не більше 0,1 м/с.</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Під час перевищення припустимих значень робочий день співробітників повинен бути скорочений мінімум на 10%.</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Для підтримки допустимих значень мікроклімату та концентрації позитивних і негативних іонів необхідно передбачати установки або прилади зволоження та/або штучної іонізації, кондиціювання повітря. В Україні відсутні </w:t>
            </w:r>
            <w:r w:rsidRPr="00D44D16">
              <w:rPr>
                <w:rFonts w:ascii="Times New Roman" w:hAnsi="Times New Roman"/>
                <w:sz w:val="28"/>
                <w:szCs w:val="28"/>
                <w:lang w:eastAsia="ru-RU"/>
              </w:rPr>
              <w:lastRenderedPageBreak/>
              <w:t>затверджені на законодавчому рівні гранично допустимі норми вмісту вуглекислого газу в повітрі для житлових, офісних та громадських споруд. Проте, враховуючи його вплив на працівників, а саме суттєве зниження їх працездатності, роботодавцям варто приділяти цьому питанню увагу та вживати заходи профілактики.</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Окрім цього, наслідком сучасного технічного прогресу є зростання з кожним роком енергоспоживання та збільшення навантаження на кабелі, що в свою чергу призводить до збільшення напруги електромагнітних полів, несприятлива дія яких може призвести до погіршення стану здоров’я працівників. Таким чином, роботодавцям варто пам’ятати, що причиною зниження працездатності офісних працівників дуже часто є саме незадовільні параметри мікроклімату.</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b/>
                <w:bCs/>
                <w:i/>
                <w:iCs/>
                <w:sz w:val="28"/>
                <w:szCs w:val="28"/>
                <w:lang w:eastAsia="ru-RU"/>
              </w:rPr>
              <w:t>Вимоги до освітлення</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Як відомо, тривала робота за комп’ютером та з документами при недостатньому рівні освітленості може призвести до значного перенапруження зору, тому вимоги до освітлення є досить важливими.</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Додатково, окрім вже перелічених документів, вимоги до освітлення встановлено ДБН В.2.5-28-2006 «Природне і штучне освітлення», затвердженими наказом Мінрегіону від 15.05.2006 р. № 168.</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Як вже зазначалося, відносно вікон робоче місце необхідно організовувати так, щоб природне світло було з лівого боку (п. 4.3 ДСанПіН 3.3.2.007-98). Робоче місце необхідно розміщувати таким чином, щоб уникнути попадання прямого світла в очі. Для забезпечення захисту і досягнення нормованих рівнів комп’ютерних випромінювань необхідне застосування приекранних фільтрів, локальних світлофільтрів (засобів індивідуального захисту очей) та інших засобів захисту, що пройшли випробування в акредитованих лабораторіях і мають щорічний гігієнічний сертифікат (п. 4.19 ДСанПіН 3.3.2.007-98).</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Штучне освітлення приміщення має здійснюватись системою загального рівномірного освітлення (п. 3.2.2 ДСанПіН 3.3.2.007-98). У приміщеннях при переважній роботі з документами допускається використання системи комбінованого освітлення, тобто встановлення світильників місцевого освітлення додатково до загального.</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Як джерела штучного освітлення необхідно використовувати люмінесцентні лампи. Згідно з п. 3.2.5 ДСанПіН 3.3.2.007-98 система загального освітлення має бути у вигляді суцільних або переривчатих ліній світильників, що розташовані збоку від робочих місць (зазвичай ліворуч) паралельно лінії зору працівників.</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lastRenderedPageBreak/>
              <w:t>Допускається застосування ламп розжарювання у світильниках місцевого освітлення та, у разі влаштування відбитого освітлення у виробничих чи адміністративно-громадських приміщеннях, металогалогенних ламп потужністю 250 Вт.</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Коефіцієнт пульсації не повинен перевищувати 5% (п. 3.2.14 ДСанПіН 3.3.2.007-98). Рівень освітленості на робочому столі в зоні розташування документів має бути в межах 300–500 лк. Світильники місцевого освітлення слід встановлювати таким чином, щоб не створювати відблисків на поверхні екрана, а освітленість екрана має не перевищувати 300 лк.</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Для забезпечення нормованих значень освітленості у приміщеннях відповідно до п. 3.2.15 ДСанПіН 3.3.2.007-98 необхідно мити вікна і світильники не рідше 2 разів на рік, а також своєчасно замінювати лампи, що перегоріли.</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b/>
                <w:bCs/>
                <w:i/>
                <w:iCs/>
                <w:sz w:val="28"/>
                <w:szCs w:val="28"/>
                <w:lang w:eastAsia="ru-RU"/>
              </w:rPr>
              <w:t>Вимоги до рівнів шуму та вібрації (рівні звукового тиску та норми вібрації)</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Рівні шуму та вібрації на робочих місцях осіб, що працюють з ПК, визначаються відповідно до ДСанПіН 3.3.2.007-98.</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Для забезпечення дотримання допустимих рівнів шуму на робочих місцях застосовуються засоби звукопоглинання, вибір яких обґрунтовується спеціальними інженерно-акустичними розрахунками (п. 3.3.3 ДСанПіН 3.3.2.007-98).</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Перелік організаційно-технічних заходів щодо обмеження несприятливого впливу шуму та вібрації на працюючих наведено в ДСН 2.3.6.037-99 та ДСН 3.3.6.039-99, серед яких зменшення шуму та вібрації </w:t>
            </w:r>
            <w:proofErr w:type="gramStart"/>
            <w:r w:rsidRPr="00D44D16">
              <w:rPr>
                <w:rFonts w:ascii="Times New Roman" w:hAnsi="Times New Roman"/>
                <w:sz w:val="28"/>
                <w:szCs w:val="28"/>
                <w:lang w:eastAsia="ru-RU"/>
              </w:rPr>
              <w:t>на шляху</w:t>
            </w:r>
            <w:proofErr w:type="gramEnd"/>
            <w:r w:rsidRPr="00D44D16">
              <w:rPr>
                <w:rFonts w:ascii="Times New Roman" w:hAnsi="Times New Roman"/>
                <w:sz w:val="28"/>
                <w:szCs w:val="28"/>
                <w:lang w:eastAsia="ru-RU"/>
              </w:rPr>
              <w:t xml:space="preserve"> розповсюдження засобами ізоляції та поглинання, наприклад, за рахунок використання гумових, поролонових, інших шумо- чи вібропоглинаючих матеріалів, або інших матеріалів аналогічного призначення, що дозволені для оздоблення приміщень органами державного санітарно-епідеміологічного нагляду.</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b/>
                <w:bCs/>
                <w:i/>
                <w:iCs/>
                <w:sz w:val="28"/>
                <w:szCs w:val="28"/>
                <w:lang w:eastAsia="ru-RU"/>
              </w:rPr>
              <w:t>Допустимі параметри неіонізуючого електромагнітного випромінювання</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Вимоги щодо рівня неіонізуючих електромагнітних випромінювань, електростатичних та магнітних полів встановлюються відповідно до ДСанПіН 3.3.2.007-98, а також Вимог до роботодавців щодо захисту працівників від шкідливого впливу електромагнітних полів, затверджених наказом Міненергетики </w:t>
            </w:r>
            <w:hyperlink r:id="rId10" w:history="1">
              <w:r w:rsidRPr="00D44D16">
                <w:rPr>
                  <w:rFonts w:ascii="Times New Roman" w:hAnsi="Times New Roman"/>
                  <w:color w:val="0000FF"/>
                  <w:sz w:val="28"/>
                  <w:szCs w:val="28"/>
                  <w:u w:val="single"/>
                  <w:lang w:eastAsia="ru-RU"/>
                </w:rPr>
                <w:t>від 05.02.2014 р. № 99</w:t>
              </w:r>
            </w:hyperlink>
            <w:r w:rsidRPr="00D44D16">
              <w:rPr>
                <w:rFonts w:ascii="Times New Roman" w:hAnsi="Times New Roman"/>
                <w:sz w:val="28"/>
                <w:szCs w:val="28"/>
                <w:lang w:eastAsia="ru-RU"/>
              </w:rPr>
              <w:t>, ДСанПіН 3.3.6.096-2002.</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Значення напруженості електростатичного поля на робочих місцях (як у зоні екрана дисплея, так і на поверхнях обладнання, клавіатури, друкувального </w:t>
            </w:r>
            <w:r w:rsidRPr="00D44D16">
              <w:rPr>
                <w:rFonts w:ascii="Times New Roman" w:hAnsi="Times New Roman"/>
                <w:sz w:val="28"/>
                <w:szCs w:val="28"/>
                <w:lang w:eastAsia="ru-RU"/>
              </w:rPr>
              <w:lastRenderedPageBreak/>
              <w:t>пристрою) мають не перевищувати гранично допустимих відповідно до встановлених норм.</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b/>
                <w:bCs/>
                <w:sz w:val="28"/>
                <w:szCs w:val="28"/>
                <w:lang w:eastAsia="ru-RU"/>
              </w:rPr>
              <w:t>Режим праці та відпочинку: регламентовані перерви, обідня перерва, режим праці з комп’ютером</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При організації праці, що пов’язана з використанням персональних комп’ютерів, для збереження здоров’я працюючих, запобігання професійним захворювання і підтримки працездатності слід передбачити регламентовані перерви для відпочинку. Режими праці і відпочинку мають передбачати додаткові нетривалі перерви в періоди, що передують появі об’єктивних і суб’єктивних ознак стомлення і зниження працездатності. За основну роботу з персональним комп’ютером слід вважати таку, що займає не менше 50% часу впродовж робочої зміни.</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Відповідно до п. 5.3 ДСанПіН 3.3.2.007-98 протягом дня мають передбачатися:</w:t>
            </w:r>
          </w:p>
          <w:p w:rsidR="009C0141" w:rsidRPr="00D44D16" w:rsidRDefault="009C0141" w:rsidP="009C0141">
            <w:pPr>
              <w:numPr>
                <w:ilvl w:val="0"/>
                <w:numId w:val="4"/>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перерви для відпочинку і вживання їжі (обідні перерви);</w:t>
            </w:r>
          </w:p>
          <w:p w:rsidR="009C0141" w:rsidRPr="00D44D16" w:rsidRDefault="009C0141" w:rsidP="009C0141">
            <w:pPr>
              <w:numPr>
                <w:ilvl w:val="0"/>
                <w:numId w:val="4"/>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перерви для відпочинку і особистих потреб (згідно з трудовими нормами);</w:t>
            </w:r>
          </w:p>
          <w:p w:rsidR="009C0141" w:rsidRPr="00D44D16" w:rsidRDefault="009C0141" w:rsidP="009C0141">
            <w:pPr>
              <w:numPr>
                <w:ilvl w:val="0"/>
                <w:numId w:val="4"/>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додаткові перерви, що вводяться для окремих професій з урахуванням особливостей трудової діяльності.</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Тривалість обідньої перерви визначається чинним законодавством про працю і правилами внутрішнього трудового розпорядку.</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Пунктом 5.8 ДСанПіН 3.3.2.007-98 встановлюються такі внутрішньозмінні режими праці та відпочинку при роботі з ЕОМ при 8-годинній денній робочій зміні залежно від характеру праці:</w:t>
            </w:r>
          </w:p>
          <w:p w:rsidR="009C0141" w:rsidRPr="00D44D16" w:rsidRDefault="009C0141" w:rsidP="009C0141">
            <w:pPr>
              <w:numPr>
                <w:ilvl w:val="0"/>
                <w:numId w:val="5"/>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для розробників програм слід призначати регламентовану перерву для відпочинку тривалістю 15 хвилин через кожну годину роботи за персональним комп’ютером;</w:t>
            </w:r>
          </w:p>
          <w:p w:rsidR="009C0141" w:rsidRPr="00D44D16" w:rsidRDefault="009C0141" w:rsidP="009C0141">
            <w:pPr>
              <w:numPr>
                <w:ilvl w:val="0"/>
                <w:numId w:val="5"/>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для операторів персональних комп’ютерів слід призначати регламентовані перерви для відпочинку тривалістю 15 хвилин через кожні дві години;</w:t>
            </w:r>
          </w:p>
          <w:p w:rsidR="009C0141" w:rsidRPr="00D44D16" w:rsidRDefault="009C0141" w:rsidP="009C0141">
            <w:pPr>
              <w:numPr>
                <w:ilvl w:val="0"/>
                <w:numId w:val="5"/>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для операторів комп’ютерного набору слід призначати регламентовані перерви для відпочинку тривалістю 10 хвилин після кожної години роботи за персональним комп’ютером.</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Слід зауважити, що за характером трудової діяльності виділено вищеперелічені три професійні групи згідно з чинним </w:t>
            </w:r>
            <w:hyperlink r:id="rId11" w:history="1">
              <w:r w:rsidRPr="00D44D16">
                <w:rPr>
                  <w:rFonts w:ascii="Times New Roman" w:hAnsi="Times New Roman"/>
                  <w:color w:val="0000FF"/>
                  <w:sz w:val="28"/>
                  <w:szCs w:val="28"/>
                  <w:u w:val="single"/>
                  <w:lang w:eastAsia="ru-RU"/>
                </w:rPr>
                <w:t>Класифікатором професій</w:t>
              </w:r>
            </w:hyperlink>
            <w:r w:rsidRPr="00D44D16">
              <w:rPr>
                <w:rFonts w:ascii="Times New Roman" w:hAnsi="Times New Roman"/>
                <w:sz w:val="28"/>
                <w:szCs w:val="28"/>
                <w:lang w:eastAsia="ru-RU"/>
              </w:rPr>
              <w:t>, проте більшість офісних працівників підпадають під визначення або розробників програм, або операторів електронно-обчислювальних машин згідно з п. 5.7 ДСанПіН 3.3.2.007-98.</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lastRenderedPageBreak/>
              <w:t>У всіх випадках, коли виробничі обставини не дозволяють застосувати регламентовані перерви, тривалість безперервної роботи з персональним комп’ютером не повинна перевищувати 4 години. При 12-годинній робочій зміні регламентовані перерви повинні встановлюватися в перші 8 годин роботи аналогічно перервам при 8-годинній робочій зміні, а протягом останніх 4-х годин роботи, незалежно від характеру трудової діяльності, через кожну годину тривалістю 15 хвилин (п. 5.9 та п. 5.10 ДСанПіН 3.3.2.007-98).</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З метою зменшення негативного впливу монотонності є доцільним застосовувати чергування операцій обробки тексту і числових даних (зміна змісту роботи), чергування вводу даних та редагування текстів. Для зниження нервово-емоційного напруження, стомлення зорового аналізатора, поліпшення мозкового кровообігу, подолання несприятливих наслідків гіподинамії, запобігання втомі доцільні деякі перерви використовувати для виконання комплексу вправ, приклади яких також наведено в ДСанПіН 3.3.2.007-98.</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В окремих випадках — при хронічних скаргах працюючих на зорове стомлення, незважаючи на дотримання санітарно-гігієнічних вимог до режимів праці і відпочинку, а також застосування засобів локального захисту очей — допускається індивідуальний підхід до обмеження часу робіт з персональним комп’ютером, зміни характеру праці, чергування з іншими видами діяльності, не пов’язаними з персональним комп’ютером.</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b/>
                <w:bCs/>
                <w:sz w:val="28"/>
                <w:szCs w:val="28"/>
                <w:lang w:eastAsia="ru-RU"/>
              </w:rPr>
              <w:t>Відповідальність роботодавця</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Підсумовуючи вищенаведене, нагадаємо головні вимоги до організації охорони праці офісних працівників згідно з чинним законодавством:</w:t>
            </w:r>
          </w:p>
          <w:p w:rsidR="009C0141" w:rsidRPr="00D44D16" w:rsidRDefault="009C0141" w:rsidP="009C0141">
            <w:pPr>
              <w:numPr>
                <w:ilvl w:val="0"/>
                <w:numId w:val="6"/>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належне освітлення приміщення і робочого місця, відсутність відблисків;</w:t>
            </w:r>
          </w:p>
          <w:p w:rsidR="009C0141" w:rsidRPr="00D44D16" w:rsidRDefault="009C0141" w:rsidP="009C0141">
            <w:pPr>
              <w:numPr>
                <w:ilvl w:val="0"/>
                <w:numId w:val="6"/>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оптимальні параметри мікроклімату, а саме: температура, відносна вологість, швидкість руху, рівень іонізації повітря;</w:t>
            </w:r>
          </w:p>
          <w:p w:rsidR="009C0141" w:rsidRPr="00D44D16" w:rsidRDefault="009C0141" w:rsidP="009C0141">
            <w:pPr>
              <w:numPr>
                <w:ilvl w:val="0"/>
                <w:numId w:val="6"/>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належні ергономічні характеристики основних елементів робочого місця;</w:t>
            </w:r>
          </w:p>
          <w:p w:rsidR="009C0141" w:rsidRPr="00D44D16" w:rsidRDefault="009C0141" w:rsidP="009C0141">
            <w:pPr>
              <w:numPr>
                <w:ilvl w:val="0"/>
                <w:numId w:val="6"/>
              </w:num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зменшення рівня небезпечних і шкідливих факторів, серед яких: шум та вібрація; рентгенівське, електромагнітне, ультрафіолетове та інфрачервоне випромінювання; наявність пилу, озону, оксидів азоту у повітрі.</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На сьогодні помітна тенденція, коли в більшості офісів такі вимоги не виконуються, а інколи навіть ігноруються. </w:t>
            </w:r>
            <w:proofErr w:type="gramStart"/>
            <w:r w:rsidRPr="00D44D16">
              <w:rPr>
                <w:rFonts w:ascii="Times New Roman" w:hAnsi="Times New Roman"/>
                <w:sz w:val="28"/>
                <w:szCs w:val="28"/>
                <w:lang w:eastAsia="ru-RU"/>
              </w:rPr>
              <w:t>В першу</w:t>
            </w:r>
            <w:proofErr w:type="gramEnd"/>
            <w:r w:rsidRPr="00D44D16">
              <w:rPr>
                <w:rFonts w:ascii="Times New Roman" w:hAnsi="Times New Roman"/>
                <w:sz w:val="28"/>
                <w:szCs w:val="28"/>
                <w:lang w:eastAsia="ru-RU"/>
              </w:rPr>
              <w:t xml:space="preserve"> чергу це помітно на прикладі вимог до площі офісного приміщення та наявності засобів обігріву чи кондиціонування повітря для підтримання оптимальної для роботи в офісі температури.</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lastRenderedPageBreak/>
              <w:t xml:space="preserve">Стаття 158 </w:t>
            </w:r>
            <w:hyperlink r:id="rId12" w:history="1">
              <w:r w:rsidRPr="00D44D16">
                <w:rPr>
                  <w:rFonts w:ascii="Times New Roman" w:hAnsi="Times New Roman"/>
                  <w:color w:val="0000FF"/>
                  <w:sz w:val="28"/>
                  <w:szCs w:val="28"/>
                  <w:u w:val="single"/>
                  <w:lang w:eastAsia="ru-RU"/>
                </w:rPr>
                <w:t>КЗпП</w:t>
              </w:r>
            </w:hyperlink>
            <w:r w:rsidRPr="00D44D16">
              <w:rPr>
                <w:rFonts w:ascii="Times New Roman" w:hAnsi="Times New Roman"/>
                <w:sz w:val="28"/>
                <w:szCs w:val="28"/>
                <w:lang w:eastAsia="ru-RU"/>
              </w:rPr>
              <w:t xml:space="preserve"> встановлює обов’язок власника або уповноваженого ним органу вживати заходів щодо полегшення і оздоровлення умов праці працівників шляхом впровадження прогресивних технологій, досягнень науки і техніки, засобів механізації та автоматизації виробництва, вимог ергономіки, позитивного досвіду з охорони праці, зниження та усунення запиленості та загазованості повітря у виробничих приміщеннях, зниження інтенсивності шуму, вібрації, випромінювань тощо.</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Отже, не варто забувати про відповідальність, яка встановлена чинним законодавством України за порушення вимог щодо охорони праці.</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Відповідно до ст. 43 Закону про охорону праці за порушення законодавства про охорону праці юридичні та фізичні особи, які відповідно до законодавства використовують найману працю, притягаються органами виконавчої влади з нагляду за охороною праці до сплати штрафу </w:t>
            </w:r>
            <w:proofErr w:type="gramStart"/>
            <w:r w:rsidRPr="00D44D16">
              <w:rPr>
                <w:rFonts w:ascii="Times New Roman" w:hAnsi="Times New Roman"/>
                <w:sz w:val="28"/>
                <w:szCs w:val="28"/>
                <w:lang w:eastAsia="ru-RU"/>
              </w:rPr>
              <w:t>в порядку</w:t>
            </w:r>
            <w:proofErr w:type="gramEnd"/>
            <w:r w:rsidRPr="00D44D16">
              <w:rPr>
                <w:rFonts w:ascii="Times New Roman" w:hAnsi="Times New Roman"/>
                <w:sz w:val="28"/>
                <w:szCs w:val="28"/>
                <w:lang w:eastAsia="ru-RU"/>
              </w:rPr>
              <w:t>, встановленому законом. При цьому сплата штрафу не звільняє юридичну або фізичну особу, яка відповідно до законодавства використовує найману працю, від усунення виявлених порушень у визначені строки.</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Максимальний розмір штрафу не може перевищувати п’яти відсотків середньомісячного фонду заробітної плати за попередній рік юридичної чи фізичної особи, яка відповідно до законодавства використовує найману працю.</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Згідно з ч. 2 ст. 41 </w:t>
            </w:r>
            <w:hyperlink r:id="rId13" w:history="1">
              <w:r w:rsidRPr="00D44D16">
                <w:rPr>
                  <w:rFonts w:ascii="Times New Roman" w:hAnsi="Times New Roman"/>
                  <w:color w:val="0000FF"/>
                  <w:sz w:val="28"/>
                  <w:szCs w:val="28"/>
                  <w:u w:val="single"/>
                  <w:lang w:eastAsia="ru-RU"/>
                </w:rPr>
                <w:t>КпАП</w:t>
              </w:r>
            </w:hyperlink>
            <w:r w:rsidRPr="00D44D16">
              <w:rPr>
                <w:rFonts w:ascii="Times New Roman" w:hAnsi="Times New Roman"/>
                <w:sz w:val="28"/>
                <w:szCs w:val="28"/>
                <w:lang w:eastAsia="ru-RU"/>
              </w:rPr>
              <w:t xml:space="preserve"> порушення вимог законодавчих та інших нормативних актів про охорону праці тягне за собою накладення штрафу на працівників від чотирьох до десяти неоподатковуваних мінімумів доходів громадян і на посадових осіб підприємств, установ, організацій незалежно від форм власності та громадян — суб’єктів підприємницької діяльності від двадцяти до сорока неоподатковуваних мінімумів доходів громадян.</w:t>
            </w:r>
          </w:p>
          <w:p w:rsidR="009C0141" w:rsidRPr="00D44D16" w:rsidRDefault="009C0141" w:rsidP="00890A60">
            <w:pPr>
              <w:spacing w:before="100" w:beforeAutospacing="1" w:after="100" w:afterAutospacing="1"/>
              <w:jc w:val="both"/>
              <w:rPr>
                <w:rFonts w:ascii="Times New Roman" w:hAnsi="Times New Roman"/>
                <w:sz w:val="28"/>
                <w:szCs w:val="28"/>
                <w:lang w:eastAsia="ru-RU"/>
              </w:rPr>
            </w:pPr>
            <w:r w:rsidRPr="00D44D16">
              <w:rPr>
                <w:rFonts w:ascii="Times New Roman" w:hAnsi="Times New Roman"/>
                <w:sz w:val="28"/>
                <w:szCs w:val="28"/>
                <w:lang w:eastAsia="ru-RU"/>
              </w:rPr>
              <w:t xml:space="preserve">Статтею 271 ККУ встановлено відповідальність за порушення вимог законодавчих та інших нормативно-правових актів про охорону праці службовою особою підприємства, установи, організації або громадянином — суб’єктом підприємницької діяльності, якщо це порушення заподіяло шкоду здоров’ю потерпілого, у вигляді штрафу від ста до двохсот неоподатковуваних мінімумів доходів громадян або виправних робіт </w:t>
            </w:r>
            <w:proofErr w:type="gramStart"/>
            <w:r w:rsidRPr="00D44D16">
              <w:rPr>
                <w:rFonts w:ascii="Times New Roman" w:hAnsi="Times New Roman"/>
                <w:sz w:val="28"/>
                <w:szCs w:val="28"/>
                <w:lang w:eastAsia="ru-RU"/>
              </w:rPr>
              <w:t>на строк</w:t>
            </w:r>
            <w:proofErr w:type="gramEnd"/>
            <w:r w:rsidRPr="00D44D16">
              <w:rPr>
                <w:rFonts w:ascii="Times New Roman" w:hAnsi="Times New Roman"/>
                <w:sz w:val="28"/>
                <w:szCs w:val="28"/>
                <w:lang w:eastAsia="ru-RU"/>
              </w:rPr>
              <w:t xml:space="preserve"> до двох років, або обмеження волі на той самий строк. У разі, якщо таке порушення спричинило загибель людей або інші тяжкі наслідки, таке діяння карається виправними роботами </w:t>
            </w:r>
            <w:proofErr w:type="gramStart"/>
            <w:r w:rsidRPr="00D44D16">
              <w:rPr>
                <w:rFonts w:ascii="Times New Roman" w:hAnsi="Times New Roman"/>
                <w:sz w:val="28"/>
                <w:szCs w:val="28"/>
                <w:lang w:eastAsia="ru-RU"/>
              </w:rPr>
              <w:t>на строк</w:t>
            </w:r>
            <w:proofErr w:type="gramEnd"/>
            <w:r w:rsidRPr="00D44D16">
              <w:rPr>
                <w:rFonts w:ascii="Times New Roman" w:hAnsi="Times New Roman"/>
                <w:sz w:val="28"/>
                <w:szCs w:val="28"/>
                <w:lang w:eastAsia="ru-RU"/>
              </w:rPr>
              <w:t xml:space="preserve"> до двох років або обмеженням волі на строк до п’яти років, або позбавленням волі на строк до семи років, з позбавленням права обіймати певні посади чи займатися певною діяльністю на строк до двох років або без такого.</w:t>
            </w:r>
          </w:p>
          <w:p w:rsidR="009C0141" w:rsidRPr="004220AA" w:rsidRDefault="004220AA" w:rsidP="004220AA">
            <w:pPr>
              <w:spacing w:before="100" w:beforeAutospacing="1" w:after="100" w:afterAutospacing="1"/>
              <w:jc w:val="both"/>
              <w:rPr>
                <w:rFonts w:ascii="Times New Roman" w:hAnsi="Times New Roman"/>
                <w:b/>
                <w:color w:val="0563C1"/>
                <w:sz w:val="28"/>
                <w:szCs w:val="28"/>
                <w:u w:val="single"/>
                <w:lang w:eastAsia="ru-RU"/>
              </w:rPr>
            </w:pPr>
            <w:hyperlink r:id="rId14" w:history="1">
              <w:r w:rsidR="009C0141" w:rsidRPr="0001342E">
                <w:rPr>
                  <w:rStyle w:val="a3"/>
                  <w:rFonts w:ascii="Times New Roman" w:hAnsi="Times New Roman"/>
                  <w:b/>
                  <w:sz w:val="28"/>
                  <w:szCs w:val="28"/>
                  <w:lang w:eastAsia="ru-RU"/>
                </w:rPr>
                <w:t>https://hrliga.com/index.php?module=news&amp;op=view&amp;id=11741</w:t>
              </w:r>
            </w:hyperlink>
            <w:bookmarkStart w:id="0" w:name="_GoBack"/>
            <w:bookmarkEnd w:id="0"/>
          </w:p>
        </w:tc>
      </w:tr>
    </w:tbl>
    <w:p w:rsidR="004052F5" w:rsidRDefault="004220AA"/>
    <w:sectPr w:rsidR="00405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01BFA"/>
    <w:multiLevelType w:val="multilevel"/>
    <w:tmpl w:val="D906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C7986"/>
    <w:multiLevelType w:val="multilevel"/>
    <w:tmpl w:val="C53E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0E685D"/>
    <w:multiLevelType w:val="multilevel"/>
    <w:tmpl w:val="0C66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7E191E"/>
    <w:multiLevelType w:val="multilevel"/>
    <w:tmpl w:val="927A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F435B"/>
    <w:multiLevelType w:val="multilevel"/>
    <w:tmpl w:val="777E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A34111"/>
    <w:multiLevelType w:val="multilevel"/>
    <w:tmpl w:val="FB3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BCA"/>
    <w:rsid w:val="0020507C"/>
    <w:rsid w:val="00421BCA"/>
    <w:rsid w:val="004220AA"/>
    <w:rsid w:val="00904221"/>
    <w:rsid w:val="009C0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1EAB3"/>
  <w15:chartTrackingRefBased/>
  <w15:docId w15:val="{91576E81-7CEA-4423-AD66-6B7A3034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141"/>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C0141"/>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liga.com/index.php?module=norm_base&amp;op=view&amp;id=348" TargetMode="External"/><Relationship Id="rId13" Type="http://schemas.openxmlformats.org/officeDocument/2006/relationships/hyperlink" Target="https://hrliga.com/index.php?module=norm_base&amp;op=view&amp;id=337" TargetMode="External"/><Relationship Id="rId3" Type="http://schemas.openxmlformats.org/officeDocument/2006/relationships/settings" Target="settings.xml"/><Relationship Id="rId7" Type="http://schemas.openxmlformats.org/officeDocument/2006/relationships/hyperlink" Target="https://hrliga.com/index.php?module=norm_base&amp;op=view&amp;id=1382" TargetMode="External"/><Relationship Id="rId12" Type="http://schemas.openxmlformats.org/officeDocument/2006/relationships/hyperlink" Target="https://hrliga.com/index.php?module=norm_base&amp;op=view&amp;id=9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hrliga.com/index.php?module=norm_base&amp;op=view&amp;id=819" TargetMode="External"/><Relationship Id="rId11" Type="http://schemas.openxmlformats.org/officeDocument/2006/relationships/hyperlink" Target="https://hrliga.com/index.php?module=norm_base&amp;op=view&amp;id=433" TargetMode="External"/><Relationship Id="rId5" Type="http://schemas.openxmlformats.org/officeDocument/2006/relationships/hyperlink" Target="https://hrliga.com/index.php?module=norm_base&amp;op=view&amp;id=108" TargetMode="External"/><Relationship Id="rId15" Type="http://schemas.openxmlformats.org/officeDocument/2006/relationships/fontTable" Target="fontTable.xml"/><Relationship Id="rId10" Type="http://schemas.openxmlformats.org/officeDocument/2006/relationships/hyperlink" Target="https://hrliga.com/index.php?module=norm_base&amp;op=view&amp;id=1261" TargetMode="External"/><Relationship Id="rId4" Type="http://schemas.openxmlformats.org/officeDocument/2006/relationships/webSettings" Target="webSettings.xml"/><Relationship Id="rId9" Type="http://schemas.openxmlformats.org/officeDocument/2006/relationships/hyperlink" Target="https://hrliga.com/index.php?module=norm_base&amp;op=view&amp;id=715" TargetMode="External"/><Relationship Id="rId14" Type="http://schemas.openxmlformats.org/officeDocument/2006/relationships/hyperlink" Target="https://hrliga.com/index.php?module=news&amp;op=view&amp;id=117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3149</Words>
  <Characters>17952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2021-06-04T14:28:00Z</cp:lastPrinted>
  <dcterms:created xsi:type="dcterms:W3CDTF">2021-06-04T14:27:00Z</dcterms:created>
  <dcterms:modified xsi:type="dcterms:W3CDTF">2021-06-04T14:28:00Z</dcterms:modified>
</cp:coreProperties>
</file>